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4103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0"/>
          <w:szCs w:val="40"/>
          <w:lang w:val="en-US" w:eastAsia="zh-CN"/>
        </w:rPr>
      </w:pPr>
      <w:r>
        <w:rPr>
          <w:rFonts w:hint="eastAsia" w:ascii="方正小标宋简体" w:hAnsi="方正小标宋简体" w:eastAsia="方正小标宋简体" w:cs="方正小标宋简体"/>
          <w:b w:val="0"/>
          <w:bCs w:val="0"/>
          <w:sz w:val="40"/>
          <w:szCs w:val="40"/>
          <w:lang w:val="en-US" w:eastAsia="zh-CN"/>
        </w:rPr>
        <w:t>深圳市“20+8”战略性新兴产业人才培训</w:t>
      </w:r>
    </w:p>
    <w:p w14:paraId="44ACF2A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0"/>
          <w:szCs w:val="40"/>
          <w:lang w:val="en-US" w:eastAsia="zh-CN"/>
        </w:rPr>
      </w:pPr>
      <w:r>
        <w:rPr>
          <w:rFonts w:hint="eastAsia" w:ascii="方正小标宋简体" w:hAnsi="方正小标宋简体" w:eastAsia="方正小标宋简体" w:cs="方正小标宋简体"/>
          <w:b w:val="0"/>
          <w:bCs w:val="0"/>
          <w:sz w:val="40"/>
          <w:szCs w:val="40"/>
          <w:lang w:val="en-US" w:eastAsia="zh-CN"/>
        </w:rPr>
        <w:t>指定课程简介</w:t>
      </w:r>
    </w:p>
    <w:p w14:paraId="5819FCA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0"/>
          <w:szCs w:val="40"/>
          <w:lang w:val="en-US" w:eastAsia="zh-CN"/>
        </w:rPr>
      </w:pPr>
    </w:p>
    <w:p w14:paraId="79605C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PLC电气工程师（西门子S7-1200系列）</w:t>
      </w:r>
    </w:p>
    <w:p w14:paraId="0D2BFB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课程以工业自动化典型控制任务为载体，通过“理论+实操”的方式，系统讲授电气控制基本原理、西门子S7-1200PLC基础知识、系统结构、编程指令、软件操作以及触摸屏控制等综合应用技术。课程内容紧密对接深圳市“20+8”产业集群中高端装备与仪器产业的岗位需求，旨在培养学员从电气控制设计到PLC编程调试的全流程实践能力。</w:t>
      </w:r>
    </w:p>
    <w:p w14:paraId="1747D6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1EEB1A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PLC电气工程师（三菱FX5U系列）</w:t>
      </w:r>
    </w:p>
    <w:p w14:paraId="17B70C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课程以工业自动化典型控制任务为载体，通过“理论+实操”的方式，系统讲授电气控制基本原理、电气图纸识读绘制、三菱FX5U系列PLC的系统结构、编程指令、软件操作以及变频调速、触摸屏控制等综合应用技术。课程内容紧密对接深圳市“20+8”产业集群中高端装备与仪器产业的岗位需求，旨在培养学员从电气控制设计到PLC编程调试的全流程实践能力。</w:t>
      </w:r>
    </w:p>
    <w:p w14:paraId="7539A7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6B1665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PLC电气工程师（汇川系列）</w:t>
      </w:r>
    </w:p>
    <w:p w14:paraId="6E7143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国产汇川PLC（H5U、Easy系列），讲解AutoShop编程环境、运动控制、EtherCAT总线、触摸屏集成。结合汇川伺服与变频器应用，学员通过产线模拟项目，掌握集成调试与故障处理方法。课程紧跟国产替代趋势，适合自动化设备维护、系统集成等岗位人员提升技能。</w:t>
      </w:r>
    </w:p>
    <w:p w14:paraId="476F5A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7B6ABB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机修钳工</w:t>
      </w:r>
    </w:p>
    <w:p w14:paraId="4D04E8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修钳工职业技能培训课程是一门面向具备初级或中级机修钳工技能基础，旨在进一步提升其专业技能与理论素养的职业技能培训课程。本课程旨在通过系统的理论学习与实践操作，使学员全面掌握机修钳工所需的专业知识、实操技能以及设备管理与维护的先进理念，提升其解决复杂设备故障的能力，为企业的设备稳定运行和高效生产提供坚实的人才保障。</w:t>
      </w:r>
    </w:p>
    <w:p w14:paraId="664750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15D824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工业机器人系统运行与维护</w:t>
      </w:r>
    </w:p>
    <w:p w14:paraId="12CF5A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课程</w:t>
      </w:r>
      <w:r>
        <w:rPr>
          <w:rFonts w:hint="eastAsia" w:ascii="仿宋_GB2312" w:hAnsi="仿宋_GB2312" w:eastAsia="仿宋_GB2312" w:cs="仿宋_GB2312"/>
          <w:sz w:val="32"/>
          <w:szCs w:val="32"/>
        </w:rPr>
        <w:t>涵盖工业机器人虚拟仿真、ABB 工业机器人操作与编程应用、西门子S7-200smart PLC 编程与应用及触摸屏交互系统的调试等多个方面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包括工业机器人虚拟仿真典型案例应用、ABB 工业机器人典型任务的编程与调试、触摸屏画面的设计制作等，帮助学员掌握工业机器人运行与日常维护完整技术体系。学员将学习使用专业工具，如工业机器人虚拟仿真软件、ABB 机器人rapid语言、西门子 S7-200smart编程工具等，提升工业机器人编程与操作能力。课程注重理论与实践相结合，通过真实案例分析、设备实操演练等方式，让学员了解工业机器人系统的运行与维护要点，培养其适应工业生产现场的系统运维思维。</w:t>
      </w:r>
    </w:p>
    <w:p w14:paraId="7BD070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136D4E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电池及电池系统维护员</w:t>
      </w:r>
    </w:p>
    <w:p w14:paraId="73347F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课程面向动力电池产业链的制造、应用、回收全链条从业人员，以典型动力电池包的检测、拆装与故障诊断为教学载体。课程系统讲授新能源汽车与锂离子电池基础知识、电池生产工艺、动力电池系统结构与原理、高压安全与防护，并重点训练电池拆装流程、维修检测设备使用及常见故障排查方法。课程内容紧密对接电池维护员、维修技师、回收工程师等岗位的核心工作任务，实现从理论到实操的深度融合。</w:t>
      </w:r>
    </w:p>
    <w:p w14:paraId="260528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467DCB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七、</w:t>
      </w:r>
      <w:r>
        <w:rPr>
          <w:rFonts w:hint="eastAsia" w:ascii="黑体" w:hAnsi="黑体" w:eastAsia="黑体" w:cs="黑体"/>
          <w:sz w:val="32"/>
          <w:szCs w:val="32"/>
        </w:rPr>
        <w:t>装配电工</w:t>
      </w:r>
    </w:p>
    <w:p w14:paraId="307400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val="en-US" w:eastAsia="zh-CN"/>
        </w:rPr>
        <w:t>课程</w:t>
      </w:r>
      <w:r>
        <w:rPr>
          <w:rFonts w:hint="eastAsia" w:ascii="仿宋_GB2312" w:hAnsi="仿宋_GB2312" w:eastAsia="仿宋_GB2312" w:cs="仿宋_GB2312"/>
          <w:sz w:val="32"/>
          <w:szCs w:val="32"/>
        </w:rPr>
        <w:t>聚焦20+8 产业之高端装备与仪器产业集群，围绕高端装备制造领域装配电工核心技能要求设计课程。内容涵盖装配电工安全规范、电气元件识别与应用、高端装备电气布线接线工艺、电气控制回路装配与调试等核心模块。以模块化、任务驱动组织教学，以高端装备电气控制柜装配、典型电气故障排查等真实场景为核心教学载体。课程紧密对接高端装备制造企业电气装配、设备调试、现场运维等产业岗位，强化实操能力与岗位适配度，培养符合产业需求的技术技能人才。</w:t>
      </w:r>
    </w:p>
    <w:p w14:paraId="05724E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4A78F2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建筑BIM技术</w:t>
      </w:r>
    </w:p>
    <w:p w14:paraId="2D13FD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课程聚焦BIM技术在建筑领域的实战应用，采用真实项目为载体，实施行动导向教学模式，让学生系统掌握BIM建模核心技能，实现从BIM基础认知到项目实战能力的提升。课程内容涵盖：感知BIM世界、搭建BIM模型、创建模型元素、应用BIM数据、实战BIM五大模块，通过项目实战帮助学员熟练掌握Revit等核心BIM工具，培养解决实际工程问题的能力。</w:t>
      </w:r>
    </w:p>
    <w:p w14:paraId="56CFCF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00F5E4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九、</w:t>
      </w:r>
      <w:r>
        <w:rPr>
          <w:rFonts w:hint="eastAsia" w:ascii="黑体" w:hAnsi="黑体" w:eastAsia="黑体" w:cs="黑体"/>
          <w:sz w:val="32"/>
          <w:szCs w:val="32"/>
        </w:rPr>
        <w:t>Solidworks建模与数控编程仿真</w:t>
      </w:r>
    </w:p>
    <w:p w14:paraId="035829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课程以典型机械零件（轴类、盘类、齿轮泵）为载体，通过“做中学”的方式，系统讲授SolidWorks软件的三维建模、装配设计、工程图生成以及数控编程仿真技术。课程内容紧密对接深圳市“20+8”产业集群中高端装备与软件信息服务产业的岗位需求，旨在培养学员从产品设计到工艺编程的全流程实践能力。</w:t>
      </w:r>
    </w:p>
    <w:p w14:paraId="325BE3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689EC2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十、</w:t>
      </w:r>
      <w:r>
        <w:rPr>
          <w:rFonts w:hint="eastAsia" w:ascii="黑体" w:hAnsi="黑体" w:eastAsia="黑体" w:cs="黑体"/>
          <w:sz w:val="32"/>
          <w:szCs w:val="32"/>
        </w:rPr>
        <w:t>CAD绘图技术</w:t>
      </w:r>
    </w:p>
    <w:p w14:paraId="51F8FE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本课程聚焦AutoCAD 软件的实战应用，采用项目教材，实施行动导向教学模式，让学员在完成具体任务的工程中掌握相应的CAD二维绘图工具和三维绘图工具的使用方法，帮助学员从软件操作入门到熟练系统学习掌握 AutoCAD 的核心功能与应用技巧。主要包括CAD绘图环境设置、绘制简单平面图形、三视图、剖视图、电气原理图、三维建模图等内容。</w:t>
      </w:r>
    </w:p>
    <w:p w14:paraId="25957F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2BEA48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p>
    <w:p w14:paraId="7CAF85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十一、</w:t>
      </w:r>
      <w:r>
        <w:rPr>
          <w:rFonts w:hint="eastAsia" w:ascii="黑体" w:hAnsi="黑体" w:eastAsia="黑体" w:cs="黑体"/>
          <w:sz w:val="32"/>
          <w:szCs w:val="32"/>
        </w:rPr>
        <w:t>全媒体内容制作</w:t>
      </w:r>
    </w:p>
    <w:p w14:paraId="64EA7C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全媒体内容制作课程内容包括全媒体内容策划、拍摄与剪辑技巧、后期制作、跨平台发布等，帮助学生掌握从创意到发布的完整流程。学生将学习使用各类专业工具，如Adobe Premiere、Photoshop等，提升实际操作能力。课程注重理论与实践相结合，通过案例分析、项目实践等方式，让学生了解不同媒体平台的传播特点与用户需求，培养其适应全媒体时代的内容创作思维。</w:t>
      </w:r>
    </w:p>
    <w:p w14:paraId="3725CF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44588D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十二、</w:t>
      </w:r>
      <w:r>
        <w:rPr>
          <w:rFonts w:hint="eastAsia" w:ascii="黑体" w:hAnsi="黑体" w:eastAsia="黑体" w:cs="黑体"/>
          <w:sz w:val="32"/>
          <w:szCs w:val="32"/>
        </w:rPr>
        <w:t>鸿蒙APP开发</w:t>
      </w:r>
    </w:p>
    <w:p w14:paraId="0C65EA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课程以实战项目为核心载体，覆盖鸿蒙开发环境搭建、ArkTS语法、ArkUI框架布局、数据渲染、动画开发等核心内容，采用项目驱动教学模式，将理论知识融入实际开发任务，精准对接鸿蒙应用开发岗位基础能力需求，帮助学员掌握从页面设计到功能开发、调试优化的全流程实操技能。</w:t>
      </w:r>
    </w:p>
    <w:p w14:paraId="63463E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p>
    <w:p w14:paraId="32464B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十三、</w:t>
      </w:r>
      <w:r>
        <w:rPr>
          <w:rFonts w:hint="eastAsia" w:ascii="黑体" w:hAnsi="黑体" w:eastAsia="黑体" w:cs="黑体"/>
          <w:sz w:val="32"/>
          <w:szCs w:val="32"/>
        </w:rPr>
        <w:t>人工智能训练师</w:t>
      </w:r>
    </w:p>
    <w:p w14:paraId="10EF32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工智能训练师课程依据国家职业技能标准，核心涵盖优化AI算法参数、数据标注与清洗等内容，属技术复合型岗位。该职业属深圳市“20+8”人工智能产业集群，是推动智能制造、工业数字化转型的关键人才。本培训项目采用“线上理论+实操”模式，培养学员掌握模型训练、算法调优等必备技能，强化场景实战能力，为深圳“20+8”战略提供人才支撑。</w:t>
      </w:r>
    </w:p>
    <w:p w14:paraId="2CBF87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0" w:name="_GoBack"/>
      <w:bookmarkEnd w:id="0"/>
      <w:r>
        <w:rPr>
          <w:rFonts w:hint="eastAsia" w:ascii="黑体" w:hAnsi="黑体" w:eastAsia="黑体" w:cs="黑体"/>
          <w:sz w:val="32"/>
          <w:szCs w:val="32"/>
          <w:lang w:val="en-US" w:eastAsia="zh-CN"/>
        </w:rPr>
        <w:t>十四、</w:t>
      </w:r>
      <w:r>
        <w:rPr>
          <w:rFonts w:hint="eastAsia" w:ascii="黑体" w:hAnsi="黑体" w:eastAsia="黑体" w:cs="黑体"/>
          <w:sz w:val="32"/>
          <w:szCs w:val="32"/>
        </w:rPr>
        <w:t>Python编程</w:t>
      </w:r>
    </w:p>
    <w:p w14:paraId="5DB30A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本课程主要学习内容包括，Python开发环境及常用工具，Python基本数据类型及主要操作、各种结构程序设计编程和函数、文件等内容。在授课过程中实战案例编程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通过该课程的学习，使大家熟悉Python编程语言，对编程有简单的认识，可使大家对数据分析、人工智能、网络爬虫等方便有进一步的认识</w:t>
      </w:r>
      <w:r>
        <w:rPr>
          <w:rFonts w:hint="eastAsia" w:ascii="仿宋_GB2312" w:hAnsi="仿宋_GB2312" w:eastAsia="仿宋_GB2312" w:cs="仿宋_GB2312"/>
          <w:sz w:val="32"/>
          <w:szCs w:val="32"/>
          <w:lang w:eastAsia="zh-CN"/>
        </w:rPr>
        <w:t>。</w:t>
      </w:r>
    </w:p>
    <w:p w14:paraId="32C8F0B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4E8E1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十五、</w:t>
      </w:r>
      <w:r>
        <w:rPr>
          <w:rFonts w:hint="eastAsia" w:ascii="黑体" w:hAnsi="黑体" w:eastAsia="黑体" w:cs="黑体"/>
          <w:sz w:val="32"/>
          <w:szCs w:val="32"/>
        </w:rPr>
        <w:t>Siemens NX（UG）</w:t>
      </w:r>
    </w:p>
    <w:p w14:paraId="74BA2D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学习Siemens NX软件的三维建模、装配、制图及基本加工模块（CAM）。通过典型机械零件案例，掌握参数化设计、曲面造型及数控编程入门。适合高端装备制造设计工程师或模具设计人员提升综合建模能力。</w:t>
      </w:r>
    </w:p>
    <w:p w14:paraId="0DA0DD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p>
    <w:p w14:paraId="1F6790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十六、</w:t>
      </w:r>
      <w:r>
        <w:rPr>
          <w:rFonts w:hint="eastAsia" w:ascii="黑体" w:hAnsi="黑体" w:eastAsia="黑体" w:cs="黑体"/>
          <w:sz w:val="32"/>
          <w:szCs w:val="32"/>
        </w:rPr>
        <w:t>大数据分析</w:t>
      </w:r>
    </w:p>
    <w:p w14:paraId="22010B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课程以Python编程为基础，涵盖基础语法、数据类型、程序控制结构、函数操作、文件操作及常用库的使用，为数据处理提供扎实的编程支持。通过下载数据、读取数据集，并爬取网络数据，掌握多样化的数据获取方法。在数据清洗环节，课程重点讲解如何处理重复值、缺失值、异常值和敏感值，并结合电子表格工具进行实践操作，确保数据质量。此外，学生还将学习数据展示、类型转换、计算、标准化、合并及分组聚合等数据处理技术，为数据分析和可视化奠定基础。</w:t>
      </w:r>
    </w:p>
    <w:p w14:paraId="412B8B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十七、</w:t>
      </w:r>
      <w:r>
        <w:rPr>
          <w:rFonts w:hint="eastAsia" w:ascii="黑体" w:hAnsi="黑体" w:eastAsia="黑体" w:cs="黑体"/>
          <w:sz w:val="32"/>
          <w:szCs w:val="32"/>
        </w:rPr>
        <w:t>物联网安装调试员</w:t>
      </w:r>
    </w:p>
    <w:p w14:paraId="599078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课程围绕物联网安装调试员五级、四级国家职业标准大纲设计教学内容，涵盖传感设备安装、网络通信配置、平台接入调试及系统联调等核心技能模块，通过真实项目拆解与分组调试，提升学员在复杂工业环境下的端到端部署能力。</w:t>
      </w:r>
    </w:p>
    <w:p w14:paraId="0FEF14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41B18F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十八、</w:t>
      </w:r>
      <w:r>
        <w:rPr>
          <w:rFonts w:hint="eastAsia" w:ascii="黑体" w:hAnsi="黑体" w:eastAsia="黑体" w:cs="黑体"/>
          <w:sz w:val="32"/>
          <w:szCs w:val="32"/>
        </w:rPr>
        <w:t>AI-OP</w:t>
      </w:r>
      <w:r>
        <w:rPr>
          <w:rFonts w:hint="eastAsia" w:ascii="黑体" w:hAnsi="黑体" w:eastAsia="黑体" w:cs="黑体"/>
          <w:sz w:val="32"/>
          <w:szCs w:val="32"/>
          <w:lang w:val="en-US" w:eastAsia="zh-CN"/>
        </w:rPr>
        <w:t>C（</w:t>
      </w:r>
      <w:r>
        <w:rPr>
          <w:rFonts w:hint="eastAsia" w:ascii="黑体" w:hAnsi="黑体" w:eastAsia="黑体" w:cs="黑体"/>
          <w:sz w:val="32"/>
          <w:szCs w:val="32"/>
        </w:rPr>
        <w:t>一人</w:t>
      </w:r>
      <w:r>
        <w:rPr>
          <w:rFonts w:hint="eastAsia" w:ascii="黑体" w:hAnsi="黑体" w:eastAsia="黑体" w:cs="黑体"/>
          <w:sz w:val="32"/>
          <w:szCs w:val="32"/>
          <w:lang w:val="en-US" w:eastAsia="zh-CN"/>
        </w:rPr>
        <w:t>公司）</w:t>
      </w:r>
    </w:p>
    <w:p w14:paraId="22BB4E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课程结合AI与OPC运营，围绕AI设计、营销、新媒体、办公四大板块教学。助力职工练就一人多岗本领，夯实岗位竞争力、实现稳岗增收；同时为意向创业者赋能，掌握数字化运营能力，轻松开启轻量创业之路，适配职场与自主发展双重需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6C0111"/>
    <w:rsid w:val="038F6F9B"/>
    <w:rsid w:val="13053A34"/>
    <w:rsid w:val="1EB768AD"/>
    <w:rsid w:val="28621F78"/>
    <w:rsid w:val="376C0111"/>
    <w:rsid w:val="455F1926"/>
    <w:rsid w:val="48862907"/>
    <w:rsid w:val="4DFC7F33"/>
    <w:rsid w:val="5A4A5760"/>
    <w:rsid w:val="5BD620AA"/>
    <w:rsid w:val="7E857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2954</Words>
  <Characters>3228</Characters>
  <Lines>0</Lines>
  <Paragraphs>0</Paragraphs>
  <TotalTime>1</TotalTime>
  <ScaleCrop>false</ScaleCrop>
  <LinksUpToDate>false</LinksUpToDate>
  <CharactersWithSpaces>3241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2026-06-04T01:56:00Z</dcterms:created>
  <dc:creator>吴泳谊</dc:creator>
  <cp:lastModifiedBy>王文婷</cp:lastModifiedBy>
  <dcterms:modified xsi:type="dcterms:W3CDTF">2026-06-11T01:07:05Z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356BCF0BD46A4B0FB39806BF26E1C90F_11</vt:lpwstr>
  </property>
  <property fmtid="{D5CDD505-2E9C-101B-9397-08002B2CF9AE}" pid="4" name="KSOTemplateDocerSaveRecord">
    <vt:lpwstr>eyJoZGlkIjoiYzE0ZTk3N2FlZGIxNWRlNjBhZjMwZTViZGQ4Yjg4NjciLCJ1c2VySWQiOiIyNzE5MDA0NzkifQ==</vt:lpwstr>
  </property>
</Properties>
</file>